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508169A4" w:rsidR="00D0592C" w:rsidRPr="00672034" w:rsidRDefault="00672034"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602A8F">
              <w:rPr>
                <w:rFonts w:ascii="STE Info Office" w:hAnsi="STE Info Office" w:cs="Arial"/>
                <w:noProof/>
                <w:sz w:val="18"/>
                <w:szCs w:val="18"/>
              </w:rPr>
              <w:t>28 novembre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21551FF2" w:rsidR="00D80773" w:rsidRDefault="00610587" w:rsidP="00D80773">
      <w:pPr>
        <w:rPr>
          <w:rFonts w:ascii="STE Info Office" w:hAnsi="STE Info Office" w:cs="Arial"/>
          <w:b/>
          <w:sz w:val="26"/>
          <w:szCs w:val="26"/>
        </w:rPr>
      </w:pPr>
      <w:r>
        <w:rPr>
          <w:rFonts w:ascii="STE Info Office" w:hAnsi="STE Info Office"/>
          <w:b/>
          <w:sz w:val="26"/>
          <w:szCs w:val="26"/>
        </w:rPr>
        <w:t>Inchiesta: gli svizzeri considerano la protezione del clima come un’opportunità nonostante la crisi</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1E4F4804"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Energie-</w:t>
      </w:r>
      <w:proofErr w:type="spellStart"/>
      <w:r>
        <w:rPr>
          <w:rFonts w:ascii="STE Info Office" w:hAnsi="STE Info Office"/>
          <w:b/>
          <w:bCs/>
          <w:sz w:val="22"/>
          <w:szCs w:val="22"/>
        </w:rPr>
        <w:t>Trendmonitor</w:t>
      </w:r>
      <w:proofErr w:type="spellEnd"/>
      <w:r>
        <w:rPr>
          <w:rFonts w:ascii="STE Info Office" w:hAnsi="STE Info Office"/>
          <w:b/>
          <w:bCs/>
          <w:sz w:val="22"/>
          <w:szCs w:val="22"/>
        </w:rPr>
        <w:t xml:space="preserve"> 2022</w:t>
      </w:r>
    </w:p>
    <w:p w14:paraId="628A9406" w14:textId="125FF505" w:rsidR="00610587" w:rsidRP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La green-tech valorizza gli immobili e fa risparmiare a lungo termine</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65E83DAD" w:rsidR="009D2197" w:rsidRPr="00974C19" w:rsidRDefault="00610587"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 Svizzera è in ritardo nella protezione del clima: l’obiettivo intermedio di riduzione delle emissioni di CO</w:t>
      </w:r>
      <w:r>
        <w:rPr>
          <w:rFonts w:ascii="STE Info Office" w:hAnsi="STE Info Office"/>
          <w:i/>
          <w:iCs/>
          <w:sz w:val="22"/>
          <w:szCs w:val="22"/>
          <w:vertAlign w:val="subscript"/>
        </w:rPr>
        <w:t>2</w:t>
      </w:r>
      <w:r>
        <w:rPr>
          <w:rFonts w:ascii="STE Info Office" w:hAnsi="STE Info Office"/>
          <w:i/>
          <w:iCs/>
          <w:sz w:val="22"/>
          <w:szCs w:val="22"/>
        </w:rPr>
        <w:t xml:space="preserve"> non è stato raggiunto nei settori dei trasporti e degli edifici. Affinché le emissioni diminuiscano in modo significativo, è necessario intensificare le misure di protezione del clima. Gli svizzeri riconoscono certamente delle opportunità in questo: per esempio l’85 per cento ritiene che un sistema di riscaldamento sostenibile garantisca il valore di case e appartamenti. Questi sono risultati dell’Energie-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2022: su incarico di Stiebel Eltron un istituto di ricerche di mercato ha intervistato 1000 cittadini svizzeri rappresentativi della popolazione.</w:t>
      </w:r>
    </w:p>
    <w:p w14:paraId="3B008C97" w14:textId="77777777" w:rsidR="000F127F" w:rsidRPr="00974C19" w:rsidRDefault="000F127F" w:rsidP="00D0592C">
      <w:pPr>
        <w:tabs>
          <w:tab w:val="left" w:pos="1800"/>
          <w:tab w:val="left" w:pos="3720"/>
          <w:tab w:val="left" w:pos="5400"/>
          <w:tab w:val="left" w:pos="7080"/>
        </w:tabs>
        <w:rPr>
          <w:rFonts w:ascii="STE Info Office" w:hAnsi="STE Info Office" w:cs="Arial"/>
          <w:sz w:val="22"/>
          <w:szCs w:val="22"/>
        </w:rPr>
      </w:pPr>
    </w:p>
    <w:p w14:paraId="3AE8370D" w14:textId="5C83BD19" w:rsidR="00610587" w:rsidRDefault="0061058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Secondo l’83 per cento dei consumatori, i provvedimenti di protezione del clima consentono di </w:t>
      </w:r>
      <w:r w:rsidR="00352B2F" w:rsidRPr="00352B2F">
        <w:rPr>
          <w:rFonts w:ascii="STE Info Office" w:hAnsi="STE Info Office"/>
          <w:sz w:val="22"/>
          <w:szCs w:val="22"/>
        </w:rPr>
        <w:t>mantenere il tenore e la qualità di vita in Svizzera</w:t>
      </w:r>
      <w:r>
        <w:rPr>
          <w:rFonts w:ascii="STE Info Office" w:hAnsi="STE Info Office"/>
          <w:sz w:val="22"/>
          <w:szCs w:val="22"/>
        </w:rPr>
        <w:t>. Sussiste infatti preoccupazione per le conseguenze del cambiamento climatico. Potrebbe essere troppo tardi per evitare i danni ambientali per le future generazioni: il 79 per cento degli intervistati è preoccupato, quasi il 40 per cento lo è addirittura molto. La gestione sostenibile offre invece sempre più vantaggi competitivi alle aziende del Paese (secondo l’83 per cento) e le tecnologie ecocompatibili fanno risparmiare a lungo termine (secondo il 77 per cento).</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9159A44" w:rsidR="000F127F" w:rsidRPr="007926F6" w:rsidRDefault="0061058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Passare al riscaldamento con pompa di calore conviene per molte ragioni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9428F2"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9428F2"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9428F2"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9428F2"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9428F2"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1A32F8C8" w14:textId="266784AA" w:rsidR="00A21A77" w:rsidRDefault="009D2197" w:rsidP="00610587">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«Adottare a una tecnologia di riscaldamento ecologica, come quella con pompa di calore, presenta molti vantaggi», afferma Patrick Drack, direttore di STIEBEL ELTRON Svizzera. «Le famiglie preservano il valore dei loro immobili, risparmiano denaro a lungo termine e forniscono un contributo fondamentale alla protezione del clima.»</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22973CA7" w:rsidR="00A13088" w:rsidRPr="007926F6" w:rsidRDefault="00B406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Tecnologia ecologica senza combustione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05C697BC" w14:textId="30B57AE1"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Chi non riscalda con olio o gas non paga la tassa sul CO</w:t>
      </w:r>
      <w:r>
        <w:rPr>
          <w:rFonts w:ascii="STE Info Office" w:hAnsi="STE Info Office"/>
          <w:sz w:val="22"/>
          <w:szCs w:val="22"/>
          <w:vertAlign w:val="subscript"/>
        </w:rPr>
        <w:t>2</w:t>
      </w:r>
      <w:r>
        <w:rPr>
          <w:rFonts w:ascii="STE Info Office" w:hAnsi="STE Info Office"/>
          <w:sz w:val="22"/>
          <w:szCs w:val="22"/>
        </w:rPr>
        <w:t xml:space="preserve">. In Svizzera questo vale già per 4 famiglie su 10. </w:t>
      </w:r>
      <w:proofErr w:type="gramStart"/>
      <w:r>
        <w:rPr>
          <w:rFonts w:ascii="STE Info Office" w:hAnsi="STE Info Office"/>
          <w:sz w:val="22"/>
          <w:szCs w:val="22"/>
        </w:rPr>
        <w:t>Tuttavia</w:t>
      </w:r>
      <w:proofErr w:type="gramEnd"/>
      <w:r>
        <w:rPr>
          <w:rFonts w:ascii="STE Info Office" w:hAnsi="STE Info Office"/>
          <w:sz w:val="22"/>
          <w:szCs w:val="22"/>
        </w:rPr>
        <w:t xml:space="preserve"> la quantità di ristrutturazioni deve aumentare per raggiungere gli obiettivi climatici. </w:t>
      </w:r>
      <w:proofErr w:type="gramStart"/>
      <w:r>
        <w:rPr>
          <w:rFonts w:ascii="STE Info Office" w:hAnsi="STE Info Office"/>
          <w:sz w:val="22"/>
          <w:szCs w:val="22"/>
        </w:rPr>
        <w:t>Pertanto</w:t>
      </w:r>
      <w:proofErr w:type="gramEnd"/>
      <w:r>
        <w:rPr>
          <w:rFonts w:ascii="STE Info Office" w:hAnsi="STE Info Office"/>
          <w:sz w:val="22"/>
          <w:szCs w:val="22"/>
        </w:rPr>
        <w:t xml:space="preserve"> saranno messi a disposizione circa 2,8 miliardi di franchi per misure di protezione del clima nel settore edilizio.</w:t>
      </w: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consulenza energetica è sempre più importante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9428F2"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9428F2"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9428F2"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9428F2"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9428F2"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6D876A7F" w14:textId="385A9E12" w:rsidR="00610587" w:rsidRDefault="0061058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 pompa di calore non richiede combustione. La sua tecnologia utilizza l'energia liberamente disponibile proveniente dall'aria ambiente, dalla terra o dall’acqua freatica convertendola in calore per riscaldamento. Per l'azionamento è necessaria elettricità, nel migliore dei casi proveniente dal proprio impianto fotovoltaico.</w:t>
      </w:r>
    </w:p>
    <w:p w14:paraId="186F9D7B" w14:textId="77777777" w:rsidR="005F6771" w:rsidRDefault="005F6771" w:rsidP="005F6771">
      <w:pPr>
        <w:tabs>
          <w:tab w:val="left" w:pos="1800"/>
          <w:tab w:val="left" w:pos="3720"/>
          <w:tab w:val="left" w:pos="5400"/>
          <w:tab w:val="left" w:pos="7080"/>
        </w:tabs>
        <w:rPr>
          <w:rFonts w:ascii="STE Info Office" w:hAnsi="STE Info Office" w:cs="Arial"/>
          <w:sz w:val="22"/>
          <w:szCs w:val="22"/>
        </w:rPr>
      </w:pPr>
    </w:p>
    <w:p w14:paraId="0DE5F1DF" w14:textId="076EF17C" w:rsidR="005F6771" w:rsidRDefault="005F6771"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 domanda di pompe di calore è recentemente aumentata in modo significativo. </w:t>
      </w:r>
      <w:proofErr w:type="gramStart"/>
      <w:r>
        <w:rPr>
          <w:rFonts w:ascii="STE Info Office" w:hAnsi="STE Info Office"/>
          <w:sz w:val="22"/>
          <w:szCs w:val="22"/>
        </w:rPr>
        <w:t>Tuttavia</w:t>
      </w:r>
      <w:proofErr w:type="gramEnd"/>
      <w:r>
        <w:rPr>
          <w:rFonts w:ascii="STE Info Office" w:hAnsi="STE Info Office"/>
          <w:sz w:val="22"/>
          <w:szCs w:val="22"/>
        </w:rPr>
        <w:t xml:space="preserve"> in Svizzera vengono impiegati ancora troppi riscaldamenti a gas e a olio, quindi il consumo totale di CO</w:t>
      </w:r>
      <w:r>
        <w:rPr>
          <w:rFonts w:ascii="STE Info Office" w:hAnsi="STE Info Office"/>
          <w:sz w:val="22"/>
          <w:szCs w:val="22"/>
          <w:vertAlign w:val="subscript"/>
        </w:rPr>
        <w:t>2</w:t>
      </w:r>
      <w:r>
        <w:rPr>
          <w:rFonts w:ascii="STE Info Office" w:hAnsi="STE Info Office"/>
          <w:sz w:val="22"/>
          <w:szCs w:val="22"/>
        </w:rPr>
        <w:t xml:space="preserve"> degli edifici non </w:t>
      </w:r>
      <w:r>
        <w:rPr>
          <w:rFonts w:ascii="STE Info Office" w:hAnsi="STE Info Office"/>
          <w:sz w:val="22"/>
          <w:szCs w:val="22"/>
        </w:rPr>
        <w:lastRenderedPageBreak/>
        <w:t>diminuisce abbastanza rapidamente. «È venuto il momento di trasformare il locale caldaia, per raggiungere gli obiettivi climatici della Svizzera.» La Svizzera intende dimezzare le proprie emissioni di gas serra entro il 2030 rispetto ai livelli del 1990.</w:t>
      </w:r>
    </w:p>
    <w:p w14:paraId="729BCBE8" w14:textId="77777777"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p>
    <w:p w14:paraId="497CAE69" w14:textId="4632C676"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governo federale, i Cantoni e i Comuni forniscono sostegno finanziario alle famiglie per passare a una tecnologia di riscaldamento sostenibile. Per informazioni sugli attuali programmi di incentivazione per pompe di calore:</w:t>
      </w:r>
    </w:p>
    <w:p w14:paraId="2FB92DFB" w14:textId="47A52C5D" w:rsidR="00164014" w:rsidRDefault="006673A4" w:rsidP="000F127F">
      <w:pPr>
        <w:tabs>
          <w:tab w:val="left" w:pos="1800"/>
          <w:tab w:val="left" w:pos="3720"/>
          <w:tab w:val="left" w:pos="5400"/>
          <w:tab w:val="left" w:pos="7080"/>
        </w:tabs>
        <w:rPr>
          <w:rFonts w:ascii="STE Info Office" w:hAnsi="STE Info Office" w:cs="Arial"/>
          <w:sz w:val="22"/>
          <w:szCs w:val="22"/>
        </w:rPr>
      </w:pPr>
      <w:hyperlink r:id="rId8" w:history="1">
        <w:r w:rsidRPr="009A35A0">
          <w:rPr>
            <w:rStyle w:val="Hyperlink"/>
            <w:rFonts w:ascii="STE Info Office" w:hAnsi="STE Info Office"/>
            <w:sz w:val="22"/>
            <w:szCs w:val="22"/>
          </w:rPr>
          <w:t>www.stiebel-eltron.ch/sovvenzioni</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9428F2"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9428F2"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9428F2"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9428F2"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9428F2"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1FA5DFB8" w:rsidR="008E6D4E" w:rsidRDefault="006673A4" w:rsidP="000F127F">
      <w:pPr>
        <w:pStyle w:val="Pressetext"/>
        <w:spacing w:after="0" w:line="300" w:lineRule="atLeast"/>
        <w:rPr>
          <w:rFonts w:ascii="STE Info Office" w:hAnsi="STE Info Office"/>
          <w:color w:val="auto"/>
          <w:sz w:val="18"/>
          <w:szCs w:val="18"/>
        </w:rPr>
      </w:pPr>
      <w:r>
        <w:rPr>
          <w:noProof/>
        </w:rPr>
        <w:drawing>
          <wp:inline distT="0" distB="0" distL="0" distR="0" wp14:anchorId="3E093CDD" wp14:editId="08FFA690">
            <wp:extent cx="5127955" cy="34152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744" cy="3429113"/>
                    </a:xfrm>
                    <a:prstGeom prst="rect">
                      <a:avLst/>
                    </a:prstGeom>
                    <a:noFill/>
                    <a:ln>
                      <a:noFill/>
                    </a:ln>
                  </pic:spPr>
                </pic:pic>
              </a:graphicData>
            </a:graphic>
          </wp:inline>
        </w:drawing>
      </w:r>
    </w:p>
    <w:p w14:paraId="4005BE1D" w14:textId="3195C2FC"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Energie-</w:t>
      </w:r>
      <w:proofErr w:type="spellStart"/>
      <w:r>
        <w:rPr>
          <w:rFonts w:ascii="STE Info Office" w:hAnsi="STE Info Office"/>
          <w:color w:val="auto"/>
          <w:sz w:val="18"/>
          <w:szCs w:val="18"/>
        </w:rPr>
        <w:t>Trendmonitor</w:t>
      </w:r>
      <w:proofErr w:type="spellEnd"/>
      <w:r w:rsidR="00494528">
        <w:rPr>
          <w:rFonts w:ascii="STE Info Office" w:hAnsi="STE Info Office"/>
          <w:color w:val="auto"/>
          <w:sz w:val="18"/>
          <w:szCs w:val="18"/>
        </w:rPr>
        <w:t>.</w:t>
      </w:r>
      <w:r>
        <w:rPr>
          <w:rFonts w:ascii="STE Info Office" w:hAnsi="STE Info Office"/>
          <w:color w:val="auto"/>
          <w:sz w:val="18"/>
          <w:szCs w:val="18"/>
        </w:rPr>
        <w:t xml:space="preserve"> </w:t>
      </w:r>
      <w:r w:rsidR="00494528">
        <w:rPr>
          <w:rFonts w:ascii="STE Info Office" w:hAnsi="STE Info Office"/>
          <w:color w:val="auto"/>
          <w:sz w:val="18"/>
          <w:szCs w:val="18"/>
        </w:rPr>
        <w:t>L</w:t>
      </w:r>
      <w:r>
        <w:rPr>
          <w:rFonts w:ascii="STE Info Office" w:hAnsi="STE Info Office"/>
          <w:color w:val="auto"/>
          <w:sz w:val="18"/>
          <w:szCs w:val="18"/>
        </w:rPr>
        <w:t>a green-tech valorizza gli immobili e fa risparmiare a lungo termine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9428F2"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9428F2"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9428F2"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9428F2"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9428F2" w:rsidRDefault="00D0592C" w:rsidP="00C34951">
            <w:pPr>
              <w:tabs>
                <w:tab w:val="left" w:pos="5954"/>
              </w:tabs>
              <w:rPr>
                <w:rFonts w:ascii="STE Info Office" w:hAnsi="STE Info Office" w:cs="Arial"/>
                <w:sz w:val="4"/>
                <w:szCs w:val="4"/>
              </w:rPr>
            </w:pPr>
          </w:p>
        </w:tc>
      </w:tr>
    </w:tbl>
    <w:p w14:paraId="0618117A" w14:textId="77777777" w:rsidR="0066297A" w:rsidRPr="0066297A" w:rsidRDefault="0066297A" w:rsidP="00D0592C">
      <w:pPr>
        <w:spacing w:line="300" w:lineRule="atLeast"/>
        <w:ind w:right="83"/>
        <w:rPr>
          <w:rFonts w:ascii="STE Info Office" w:hAnsi="STE Info Office" w:cs="Arial"/>
          <w:sz w:val="22"/>
          <w:szCs w:val="22"/>
          <w:lang w:val="fr-CH"/>
        </w:rPr>
      </w:pPr>
    </w:p>
    <w:sectPr w:rsidR="0066297A" w:rsidRPr="0066297A"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70E7" w14:textId="77777777" w:rsidR="00971390" w:rsidRDefault="00971390">
      <w:r>
        <w:separator/>
      </w:r>
    </w:p>
  </w:endnote>
  <w:endnote w:type="continuationSeparator" w:id="0">
    <w:p w14:paraId="393C21B8" w14:textId="77777777" w:rsidR="00971390" w:rsidRDefault="009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326A2E90" w:rsidR="0058190A" w:rsidRPr="00AC278F" w:rsidRDefault="0058190A" w:rsidP="00B86EBF">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B86EBF">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3AC8" w14:textId="77777777" w:rsidR="00971390" w:rsidRDefault="00971390">
      <w:r>
        <w:separator/>
      </w:r>
    </w:p>
  </w:footnote>
  <w:footnote w:type="continuationSeparator" w:id="0">
    <w:p w14:paraId="3A3EE3B9" w14:textId="77777777" w:rsidR="00971390" w:rsidRDefault="0097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364AD"/>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2B2F"/>
    <w:rsid w:val="003540F8"/>
    <w:rsid w:val="003562C3"/>
    <w:rsid w:val="00357013"/>
    <w:rsid w:val="003771F7"/>
    <w:rsid w:val="00382954"/>
    <w:rsid w:val="00383146"/>
    <w:rsid w:val="003A4E01"/>
    <w:rsid w:val="003A7535"/>
    <w:rsid w:val="00413C25"/>
    <w:rsid w:val="00494528"/>
    <w:rsid w:val="00494672"/>
    <w:rsid w:val="004C3A04"/>
    <w:rsid w:val="004F1341"/>
    <w:rsid w:val="004F4C94"/>
    <w:rsid w:val="0052365D"/>
    <w:rsid w:val="00534C9A"/>
    <w:rsid w:val="0054702E"/>
    <w:rsid w:val="00554C70"/>
    <w:rsid w:val="0058190A"/>
    <w:rsid w:val="005B29AC"/>
    <w:rsid w:val="005C0533"/>
    <w:rsid w:val="005C737A"/>
    <w:rsid w:val="005E2E6D"/>
    <w:rsid w:val="005E4434"/>
    <w:rsid w:val="005F58B7"/>
    <w:rsid w:val="005F6771"/>
    <w:rsid w:val="00602A8F"/>
    <w:rsid w:val="00610587"/>
    <w:rsid w:val="00614E24"/>
    <w:rsid w:val="006158E5"/>
    <w:rsid w:val="006222ED"/>
    <w:rsid w:val="0066297A"/>
    <w:rsid w:val="006673A4"/>
    <w:rsid w:val="00672034"/>
    <w:rsid w:val="006928E2"/>
    <w:rsid w:val="00706294"/>
    <w:rsid w:val="00755154"/>
    <w:rsid w:val="007616C6"/>
    <w:rsid w:val="00770266"/>
    <w:rsid w:val="00780E59"/>
    <w:rsid w:val="007877D3"/>
    <w:rsid w:val="00793645"/>
    <w:rsid w:val="007C5654"/>
    <w:rsid w:val="007E72B3"/>
    <w:rsid w:val="00800D0A"/>
    <w:rsid w:val="00801628"/>
    <w:rsid w:val="00881D29"/>
    <w:rsid w:val="008833E8"/>
    <w:rsid w:val="00883618"/>
    <w:rsid w:val="0089696D"/>
    <w:rsid w:val="008A1697"/>
    <w:rsid w:val="008C4637"/>
    <w:rsid w:val="008E6D4E"/>
    <w:rsid w:val="008F194B"/>
    <w:rsid w:val="00912BAD"/>
    <w:rsid w:val="00932424"/>
    <w:rsid w:val="00936422"/>
    <w:rsid w:val="00941E32"/>
    <w:rsid w:val="009428F2"/>
    <w:rsid w:val="00943FA3"/>
    <w:rsid w:val="00944A38"/>
    <w:rsid w:val="00944FF8"/>
    <w:rsid w:val="00971390"/>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86EBF"/>
    <w:rsid w:val="00BC5E1C"/>
    <w:rsid w:val="00BC5F35"/>
    <w:rsid w:val="00BC6EF5"/>
    <w:rsid w:val="00BD6725"/>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3592">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623</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11</cp:revision>
  <cp:lastPrinted>2008-01-04T13:00:00Z</cp:lastPrinted>
  <dcterms:created xsi:type="dcterms:W3CDTF">2022-11-24T23:11:00Z</dcterms:created>
  <dcterms:modified xsi:type="dcterms:W3CDTF">2022-11-28T13:52:00Z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